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007"/>
        <w:gridCol w:w="6917"/>
      </w:tblGrid>
      <w:tr w:rsidR="006F6326" w:rsidTr="001849CC">
        <w:tc>
          <w:tcPr>
            <w:tcW w:w="3007"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917" w:type="dxa"/>
          </w:tcPr>
          <w:p w:rsidR="00EA03A4" w:rsidRDefault="00F55FF1" w:rsidP="008A22C6">
            <w:pPr>
              <w:rPr>
                <w:rFonts w:ascii="Arial" w:hAnsi="Arial" w:cs="Arial"/>
              </w:rPr>
            </w:pPr>
            <w:r>
              <w:rPr>
                <w:rFonts w:ascii="Arial" w:hAnsi="Arial" w:cs="Arial"/>
              </w:rPr>
              <w:t>Osney Path</w:t>
            </w:r>
            <w:r w:rsidR="00C00C01">
              <w:rPr>
                <w:rFonts w:ascii="Arial" w:hAnsi="Arial" w:cs="Arial"/>
              </w:rPr>
              <w:t xml:space="preserve"> Improvement - Appointment of a consultant to undertake a </w:t>
            </w:r>
            <w:r w:rsidR="00EA03A4">
              <w:rPr>
                <w:rFonts w:ascii="Arial" w:hAnsi="Arial" w:cs="Arial"/>
              </w:rPr>
              <w:t>Multidisciplinary Design Services Contract</w:t>
            </w:r>
          </w:p>
          <w:p w:rsidR="00533BCE" w:rsidRPr="00A96C08" w:rsidRDefault="00533BCE" w:rsidP="008A22C6">
            <w:pPr>
              <w:rPr>
                <w:rFonts w:ascii="Arial" w:hAnsi="Arial" w:cs="Arial"/>
              </w:rPr>
            </w:pPr>
          </w:p>
        </w:tc>
      </w:tr>
      <w:tr w:rsidR="006F6326" w:rsidTr="001849CC">
        <w:tc>
          <w:tcPr>
            <w:tcW w:w="3007"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917" w:type="dxa"/>
          </w:tcPr>
          <w:p w:rsidR="00263039" w:rsidRPr="00A96C08" w:rsidRDefault="00EA03A4" w:rsidP="00233C0F">
            <w:pPr>
              <w:rPr>
                <w:rFonts w:ascii="Arial" w:hAnsi="Arial" w:cs="Arial"/>
              </w:rPr>
            </w:pPr>
            <w:r>
              <w:rPr>
                <w:rFonts w:ascii="Arial" w:hAnsi="Arial" w:cs="Arial"/>
              </w:rPr>
              <w:t>12</w:t>
            </w:r>
            <w:r w:rsidR="00233C0F">
              <w:rPr>
                <w:rFonts w:ascii="Arial" w:hAnsi="Arial" w:cs="Arial"/>
              </w:rPr>
              <w:t xml:space="preserve"> July </w:t>
            </w:r>
            <w:r w:rsidR="00AF498A">
              <w:rPr>
                <w:rFonts w:ascii="Arial" w:hAnsi="Arial" w:cs="Arial"/>
              </w:rPr>
              <w:t>21</w:t>
            </w:r>
          </w:p>
        </w:tc>
      </w:tr>
      <w:tr w:rsidR="00854133" w:rsidTr="006869D3">
        <w:trPr>
          <w:trHeight w:val="2673"/>
        </w:trPr>
        <w:tc>
          <w:tcPr>
            <w:tcW w:w="3007" w:type="dxa"/>
          </w:tcPr>
          <w:p w:rsidR="00854133" w:rsidRPr="00854133" w:rsidRDefault="00854133" w:rsidP="001849CC">
            <w:pPr>
              <w:spacing w:before="120" w:after="120"/>
              <w:rPr>
                <w:rFonts w:ascii="Arial" w:hAnsi="Arial" w:cs="Arial"/>
              </w:rPr>
            </w:pPr>
            <w:r>
              <w:rPr>
                <w:rFonts w:ascii="Arial" w:hAnsi="Arial" w:cs="Arial"/>
                <w:b/>
              </w:rPr>
              <w:t xml:space="preserve">Source of delegation: </w:t>
            </w:r>
          </w:p>
        </w:tc>
        <w:tc>
          <w:tcPr>
            <w:tcW w:w="6917" w:type="dxa"/>
          </w:tcPr>
          <w:p w:rsidR="006B5607" w:rsidRDefault="00E11B53" w:rsidP="00E11B53">
            <w:pPr>
              <w:rPr>
                <w:rFonts w:ascii="Arial" w:hAnsi="Arial" w:cs="Arial"/>
              </w:rPr>
            </w:pPr>
            <w:r>
              <w:rPr>
                <w:rFonts w:ascii="Arial" w:hAnsi="Arial" w:cs="Arial"/>
              </w:rPr>
              <w:t xml:space="preserve">Cabinet on 20 January 2021 </w:t>
            </w:r>
            <w:r w:rsidR="006869D3">
              <w:rPr>
                <w:rFonts w:ascii="Arial" w:hAnsi="Arial" w:cs="Arial"/>
              </w:rPr>
              <w:t>resolved to</w:t>
            </w:r>
            <w:r w:rsidR="001849CC">
              <w:rPr>
                <w:rFonts w:ascii="Arial" w:hAnsi="Arial" w:cs="Arial"/>
              </w:rPr>
              <w:t>:</w:t>
            </w:r>
          </w:p>
          <w:p w:rsidR="004A049B" w:rsidRPr="00E20A54" w:rsidRDefault="006B5607" w:rsidP="00E11B53">
            <w:pPr>
              <w:rPr>
                <w:rFonts w:ascii="Arial" w:hAnsi="Arial" w:cs="Arial"/>
              </w:rPr>
            </w:pPr>
            <w:r w:rsidRPr="006B5607">
              <w:rPr>
                <w:rFonts w:ascii="Arial" w:hAnsi="Arial" w:cs="Arial"/>
              </w:rPr>
              <w:t xml:space="preserve">“Delegate Authority to the Executive Director for Development, in consultation with the Cabinet Member for Planning and Housing Delivery and the Head of Law and Governance, to enter into contracts, following agreement of the Development Board and an appropriate procurement process, for the walking and cycling infrastructure works covered by the </w:t>
            </w:r>
            <w:r w:rsidR="001849CC">
              <w:rPr>
                <w:rFonts w:ascii="Arial" w:hAnsi="Arial" w:cs="Arial"/>
              </w:rPr>
              <w:t>Housing Infrastructure Fund (</w:t>
            </w:r>
            <w:r w:rsidRPr="006B5607">
              <w:rPr>
                <w:rFonts w:ascii="Arial" w:hAnsi="Arial" w:cs="Arial"/>
              </w:rPr>
              <w:t>HIF</w:t>
            </w:r>
            <w:r w:rsidR="001849CC">
              <w:rPr>
                <w:rFonts w:ascii="Arial" w:hAnsi="Arial" w:cs="Arial"/>
              </w:rPr>
              <w:t>)</w:t>
            </w:r>
            <w:r w:rsidRPr="006B5607">
              <w:rPr>
                <w:rFonts w:ascii="Arial" w:hAnsi="Arial" w:cs="Arial"/>
              </w:rPr>
              <w:t xml:space="preserve"> Agreement with Homes England.”</w:t>
            </w:r>
          </w:p>
        </w:tc>
      </w:tr>
      <w:tr w:rsidR="00B87695" w:rsidTr="00233C0F">
        <w:trPr>
          <w:trHeight w:val="6500"/>
        </w:trPr>
        <w:tc>
          <w:tcPr>
            <w:tcW w:w="3007" w:type="dxa"/>
          </w:tcPr>
          <w:p w:rsidR="003B1236" w:rsidRPr="00B87695" w:rsidRDefault="00854133" w:rsidP="001849CC">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917" w:type="dxa"/>
          </w:tcPr>
          <w:p w:rsidR="00E11B53" w:rsidRDefault="00E11B53" w:rsidP="00E11B53">
            <w:pPr>
              <w:rPr>
                <w:rFonts w:ascii="Arial" w:hAnsi="Arial" w:cs="Arial"/>
              </w:rPr>
            </w:pPr>
            <w:r>
              <w:rPr>
                <w:rFonts w:ascii="Arial" w:hAnsi="Arial" w:cs="Arial"/>
              </w:rPr>
              <w:t>The decision is to appoint consultants to design the proposed path works at Osney</w:t>
            </w:r>
            <w:r w:rsidR="00375F89">
              <w:rPr>
                <w:rFonts w:ascii="Arial" w:hAnsi="Arial" w:cs="Arial"/>
              </w:rPr>
              <w:t>, once Homes England have confirmed they are satisfied the HIF funding for the works can be drawn down</w:t>
            </w:r>
            <w:r>
              <w:rPr>
                <w:rFonts w:ascii="Arial" w:hAnsi="Arial" w:cs="Arial"/>
              </w:rPr>
              <w:t>.</w:t>
            </w:r>
            <w:r w:rsidR="00C00C01">
              <w:rPr>
                <w:rFonts w:ascii="Arial" w:hAnsi="Arial" w:cs="Arial"/>
              </w:rPr>
              <w:t xml:space="preserve"> These works will improve the path between Osney Mead industrial estate (which has just been the subject of footpath/cyclepath improvements undertaken by Oxford University</w:t>
            </w:r>
            <w:r w:rsidR="005261C8">
              <w:rPr>
                <w:rFonts w:ascii="Arial" w:hAnsi="Arial" w:cs="Arial"/>
              </w:rPr>
              <w:t xml:space="preserve"> funded by </w:t>
            </w:r>
            <w:r w:rsidR="001849CC">
              <w:rPr>
                <w:rFonts w:ascii="Arial" w:hAnsi="Arial" w:cs="Arial"/>
              </w:rPr>
              <w:t>the Local Growth Fund</w:t>
            </w:r>
            <w:r w:rsidR="00C00C01">
              <w:rPr>
                <w:rFonts w:ascii="Arial" w:hAnsi="Arial" w:cs="Arial"/>
              </w:rPr>
              <w:t xml:space="preserve">) and the proposed bridge between Oxpens and Osney. This part of the route will help to facilitate development at Osney Mead and the aim is provide a safe route at times of flood. The works will be funded using Housing Infrastructure Funding that has been secured for the works. </w:t>
            </w:r>
          </w:p>
          <w:p w:rsidR="00E11B53" w:rsidRDefault="00E11B53" w:rsidP="00E11B53">
            <w:pPr>
              <w:rPr>
                <w:rFonts w:ascii="Arial" w:hAnsi="Arial" w:cs="Arial"/>
              </w:rPr>
            </w:pPr>
          </w:p>
          <w:p w:rsidR="00E11B53" w:rsidRDefault="00E11B53" w:rsidP="00E11B53">
            <w:pPr>
              <w:rPr>
                <w:rFonts w:ascii="Arial" w:hAnsi="Arial" w:cs="Arial"/>
              </w:rPr>
            </w:pPr>
            <w:r w:rsidRPr="00E11B53">
              <w:rPr>
                <w:rFonts w:ascii="Arial" w:hAnsi="Arial" w:cs="Arial"/>
              </w:rPr>
              <w:t>A tender was advertised using the Homes England Property Professional Services Framework portal on 21st May, 2021.</w:t>
            </w:r>
          </w:p>
          <w:p w:rsidR="001849CC" w:rsidRPr="00E11B53" w:rsidRDefault="001849CC" w:rsidP="00E11B53">
            <w:pPr>
              <w:rPr>
                <w:rFonts w:ascii="Arial" w:hAnsi="Arial" w:cs="Arial"/>
              </w:rPr>
            </w:pPr>
          </w:p>
          <w:p w:rsidR="00E11B53" w:rsidRDefault="00E11B53" w:rsidP="00E11B53">
            <w:pPr>
              <w:rPr>
                <w:rFonts w:ascii="Arial" w:hAnsi="Arial" w:cs="Arial"/>
              </w:rPr>
            </w:pPr>
            <w:r w:rsidRPr="00E11B53">
              <w:rPr>
                <w:rFonts w:ascii="Arial" w:hAnsi="Arial" w:cs="Arial"/>
              </w:rPr>
              <w:t xml:space="preserve">Following publication of the invitations to tender, a total of two consultants had submitted tender returns. </w:t>
            </w:r>
          </w:p>
          <w:p w:rsidR="00EA03A4" w:rsidRPr="00EA03A4" w:rsidRDefault="00EA03A4" w:rsidP="00EA03A4">
            <w:pPr>
              <w:rPr>
                <w:rFonts w:ascii="Arial" w:hAnsi="Arial" w:cs="Arial"/>
              </w:rPr>
            </w:pPr>
          </w:p>
          <w:p w:rsidR="006247C4" w:rsidRPr="00A96C08" w:rsidRDefault="00EA03A4" w:rsidP="00C00C01">
            <w:pPr>
              <w:rPr>
                <w:rFonts w:ascii="Arial" w:hAnsi="Arial" w:cs="Arial"/>
              </w:rPr>
            </w:pPr>
            <w:r w:rsidRPr="00EA03A4">
              <w:rPr>
                <w:rFonts w:ascii="Arial" w:hAnsi="Arial" w:cs="Arial"/>
              </w:rPr>
              <w:t>The tenders were evaluated on 60% quality against five key criter</w:t>
            </w:r>
            <w:r w:rsidR="00732C5A">
              <w:rPr>
                <w:rFonts w:ascii="Arial" w:hAnsi="Arial" w:cs="Arial"/>
              </w:rPr>
              <w:t xml:space="preserve">ia, and 40% against the price. </w:t>
            </w:r>
            <w:r w:rsidRPr="00EA03A4">
              <w:rPr>
                <w:rFonts w:ascii="Arial" w:hAnsi="Arial" w:cs="Arial"/>
              </w:rPr>
              <w:t>Stantec submitted the best offe</w:t>
            </w:r>
            <w:r w:rsidR="00C00C01">
              <w:rPr>
                <w:rFonts w:ascii="Arial" w:hAnsi="Arial" w:cs="Arial"/>
              </w:rPr>
              <w:t xml:space="preserve">r in terms of quality and cost and have been selected to undertake the work. </w:t>
            </w:r>
            <w:r w:rsidR="00375F89">
              <w:rPr>
                <w:rFonts w:ascii="Arial" w:hAnsi="Arial" w:cs="Arial"/>
              </w:rPr>
              <w:t xml:space="preserve">The value of the contract is £165k. </w:t>
            </w:r>
          </w:p>
        </w:tc>
      </w:tr>
      <w:tr w:rsidR="00373F5D" w:rsidTr="00233C0F">
        <w:trPr>
          <w:trHeight w:val="983"/>
        </w:trPr>
        <w:tc>
          <w:tcPr>
            <w:tcW w:w="3007" w:type="dxa"/>
          </w:tcPr>
          <w:p w:rsidR="00373F5D" w:rsidRPr="00373F5D" w:rsidRDefault="00373F5D" w:rsidP="001849CC">
            <w:pPr>
              <w:spacing w:before="120" w:after="120"/>
              <w:rPr>
                <w:rFonts w:ascii="Arial" w:hAnsi="Arial" w:cs="Arial"/>
              </w:rPr>
            </w:pPr>
            <w:r>
              <w:rPr>
                <w:rFonts w:ascii="Arial" w:hAnsi="Arial" w:cs="Arial"/>
                <w:b/>
              </w:rPr>
              <w:t xml:space="preserve">Purpose: </w:t>
            </w:r>
          </w:p>
        </w:tc>
        <w:tc>
          <w:tcPr>
            <w:tcW w:w="6917" w:type="dxa"/>
          </w:tcPr>
          <w:p w:rsidR="005261C8" w:rsidRDefault="006B5607" w:rsidP="00F55FF1">
            <w:pPr>
              <w:rPr>
                <w:rFonts w:ascii="Arial" w:hAnsi="Arial" w:cs="Arial"/>
              </w:rPr>
            </w:pPr>
            <w:r w:rsidRPr="006B5607">
              <w:rPr>
                <w:rFonts w:ascii="Arial" w:hAnsi="Arial" w:cs="Arial"/>
              </w:rPr>
              <w:t xml:space="preserve">The appointment of consultants for the design work is the first step in enabling the </w:t>
            </w:r>
            <w:r>
              <w:rPr>
                <w:rFonts w:ascii="Arial" w:hAnsi="Arial" w:cs="Arial"/>
              </w:rPr>
              <w:t xml:space="preserve">path </w:t>
            </w:r>
            <w:r w:rsidRPr="006B5607">
              <w:rPr>
                <w:rFonts w:ascii="Arial" w:hAnsi="Arial" w:cs="Arial"/>
              </w:rPr>
              <w:t xml:space="preserve">works to be delivered. </w:t>
            </w:r>
            <w:r w:rsidR="005261C8">
              <w:rPr>
                <w:rFonts w:ascii="Arial" w:hAnsi="Arial" w:cs="Arial"/>
              </w:rPr>
              <w:t xml:space="preserve">The appointment of consultants will enable the design of the path works to be undertaken prior to tendering for a contractor to undertake the work. </w:t>
            </w:r>
          </w:p>
          <w:p w:rsidR="00373F5D" w:rsidRPr="00A96C08" w:rsidRDefault="00EA03A4" w:rsidP="00F55FF1">
            <w:pPr>
              <w:rPr>
                <w:rFonts w:ascii="Arial" w:hAnsi="Arial" w:cs="Arial"/>
              </w:rPr>
            </w:pPr>
            <w:r w:rsidRPr="00EA03A4">
              <w:rPr>
                <w:rFonts w:ascii="Arial" w:hAnsi="Arial" w:cs="Arial"/>
              </w:rPr>
              <w:t xml:space="preserve">The consultant is to undertake the design of the </w:t>
            </w:r>
            <w:r w:rsidR="00F55FF1">
              <w:rPr>
                <w:rFonts w:ascii="Arial" w:hAnsi="Arial" w:cs="Arial"/>
              </w:rPr>
              <w:t xml:space="preserve">path works </w:t>
            </w:r>
            <w:r w:rsidRPr="00EA03A4">
              <w:rPr>
                <w:rFonts w:ascii="Arial" w:hAnsi="Arial" w:cs="Arial"/>
              </w:rPr>
              <w:t xml:space="preserve">and will engage in detailed communication with all key stakeholders to ensure all aspects of the design are incorporated. The consultant will be responsible for the overall design from RIBA Stages 0 to 4 with the possibility of further work being commissioned for RIBA Stages 5 and 6, depending </w:t>
            </w:r>
            <w:r w:rsidRPr="00EA03A4">
              <w:rPr>
                <w:rFonts w:ascii="Arial" w:hAnsi="Arial" w:cs="Arial"/>
              </w:rPr>
              <w:lastRenderedPageBreak/>
              <w:t>on performance as well as whether it can provide value for money.</w:t>
            </w:r>
          </w:p>
        </w:tc>
      </w:tr>
      <w:tr w:rsidR="00DC2E8D" w:rsidTr="001849CC">
        <w:tc>
          <w:tcPr>
            <w:tcW w:w="3007" w:type="dxa"/>
          </w:tcPr>
          <w:p w:rsidR="00DC2E8D" w:rsidRPr="008E4629" w:rsidRDefault="008E4629" w:rsidP="001849CC">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6917" w:type="dxa"/>
          </w:tcPr>
          <w:p w:rsidR="005261C8" w:rsidRDefault="005261C8" w:rsidP="00CD2567">
            <w:pPr>
              <w:rPr>
                <w:rFonts w:ascii="Arial" w:hAnsi="Arial" w:cs="Arial"/>
              </w:rPr>
            </w:pPr>
            <w:r>
              <w:rPr>
                <w:rFonts w:ascii="Arial" w:hAnsi="Arial" w:cs="Arial"/>
              </w:rPr>
              <w:t xml:space="preserve">This decision is necessary to enable progress towards the delivery of the works by the HIF deadline of December 2022. The works require careful design to address the technical constraints and sensitive location alongside the Thames and therefore a multidisciplinary team are best placed to undertake the design work.   </w:t>
            </w:r>
          </w:p>
          <w:p w:rsidR="00FD1E96" w:rsidRPr="00A96C08" w:rsidRDefault="00FD1E96" w:rsidP="00F55FF1">
            <w:pPr>
              <w:rPr>
                <w:rFonts w:ascii="Arial" w:hAnsi="Arial" w:cs="Arial"/>
              </w:rPr>
            </w:pPr>
          </w:p>
        </w:tc>
      </w:tr>
      <w:tr w:rsidR="00B87695" w:rsidTr="00233C0F">
        <w:trPr>
          <w:trHeight w:val="1463"/>
        </w:trPr>
        <w:tc>
          <w:tcPr>
            <w:tcW w:w="3007" w:type="dxa"/>
          </w:tcPr>
          <w:p w:rsidR="00B87695" w:rsidRPr="00B87695" w:rsidRDefault="00B87695" w:rsidP="001849CC">
            <w:pPr>
              <w:spacing w:before="120" w:after="120"/>
              <w:rPr>
                <w:rFonts w:ascii="Arial" w:hAnsi="Arial" w:cs="Arial"/>
              </w:rPr>
            </w:pPr>
            <w:r w:rsidRPr="00B87695">
              <w:rPr>
                <w:rFonts w:ascii="Arial" w:hAnsi="Arial" w:cs="Arial"/>
                <w:b/>
              </w:rPr>
              <w:t xml:space="preserve">Decision made by: </w:t>
            </w:r>
          </w:p>
        </w:tc>
        <w:tc>
          <w:tcPr>
            <w:tcW w:w="6917" w:type="dxa"/>
          </w:tcPr>
          <w:p w:rsidR="00B87695" w:rsidRDefault="005261C8" w:rsidP="008A22C6">
            <w:pPr>
              <w:rPr>
                <w:rFonts w:ascii="Arial" w:hAnsi="Arial" w:cs="Arial"/>
              </w:rPr>
            </w:pPr>
            <w:bookmarkStart w:id="0" w:name="_GoBack"/>
            <w:r>
              <w:rPr>
                <w:rFonts w:ascii="Arial" w:hAnsi="Arial" w:cs="Arial"/>
              </w:rPr>
              <w:t>Tom Bridgman</w:t>
            </w:r>
            <w:r w:rsidR="001849CC">
              <w:rPr>
                <w:rFonts w:ascii="Arial" w:hAnsi="Arial" w:cs="Arial"/>
              </w:rPr>
              <w:t>,</w:t>
            </w:r>
            <w:r>
              <w:rPr>
                <w:rFonts w:ascii="Arial" w:hAnsi="Arial" w:cs="Arial"/>
              </w:rPr>
              <w:t xml:space="preserve"> Director of Development</w:t>
            </w:r>
          </w:p>
          <w:p w:rsidR="001849CC" w:rsidRDefault="001849CC" w:rsidP="008A22C6">
            <w:pPr>
              <w:rPr>
                <w:rFonts w:ascii="Arial" w:hAnsi="Arial" w:cs="Arial"/>
              </w:rPr>
            </w:pPr>
          </w:p>
          <w:p w:rsidR="001849CC" w:rsidRPr="00A96C08" w:rsidRDefault="001849CC" w:rsidP="008A22C6">
            <w:pPr>
              <w:rPr>
                <w:rFonts w:ascii="Arial" w:hAnsi="Arial" w:cs="Arial"/>
              </w:rPr>
            </w:pPr>
            <w:r>
              <w:rPr>
                <w:rFonts w:ascii="Arial" w:hAnsi="Arial" w:cs="Arial"/>
              </w:rPr>
              <w:t>Decision taken in consultation with Cllr Alex Hollingsworth, Cabinet Member for Planning and Housing Delivery, and Susan Sale, Head of Law and Governance</w:t>
            </w:r>
            <w:bookmarkEnd w:id="0"/>
          </w:p>
        </w:tc>
      </w:tr>
      <w:tr w:rsidR="006F6326" w:rsidTr="00233C0F">
        <w:trPr>
          <w:trHeight w:val="1272"/>
        </w:trPr>
        <w:tc>
          <w:tcPr>
            <w:tcW w:w="3007" w:type="dxa"/>
          </w:tcPr>
          <w:p w:rsidR="006F6326" w:rsidRDefault="006F6326" w:rsidP="001849CC">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917" w:type="dxa"/>
          </w:tcPr>
          <w:p w:rsidR="00263039" w:rsidRPr="00A96C08" w:rsidRDefault="00E11B53" w:rsidP="00EA03A4">
            <w:pPr>
              <w:rPr>
                <w:rFonts w:ascii="Arial" w:hAnsi="Arial" w:cs="Arial"/>
              </w:rPr>
            </w:pPr>
            <w:r>
              <w:rPr>
                <w:rFonts w:ascii="Arial" w:hAnsi="Arial" w:cs="Arial"/>
              </w:rPr>
              <w:t xml:space="preserve">Alternative procurement approaches were considered but the use of the Homes England Framework was considered expedient to enable the appointment of consultants as soon as possible. </w:t>
            </w:r>
          </w:p>
        </w:tc>
      </w:tr>
      <w:tr w:rsidR="006F6326" w:rsidTr="001849CC">
        <w:trPr>
          <w:trHeight w:val="574"/>
        </w:trPr>
        <w:tc>
          <w:tcPr>
            <w:tcW w:w="3007" w:type="dxa"/>
          </w:tcPr>
          <w:p w:rsidR="00C678ED" w:rsidRPr="00C678ED" w:rsidRDefault="006F6326" w:rsidP="001849CC">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917" w:type="dxa"/>
          </w:tcPr>
          <w:p w:rsidR="006F6326" w:rsidRPr="00A96C08" w:rsidRDefault="001849CC" w:rsidP="008A22C6">
            <w:pPr>
              <w:rPr>
                <w:rFonts w:ascii="Arial" w:hAnsi="Arial" w:cs="Arial"/>
              </w:rPr>
            </w:pPr>
            <w:r>
              <w:rPr>
                <w:rFonts w:ascii="Arial" w:hAnsi="Arial" w:cs="Arial"/>
              </w:rPr>
              <w:t>Report to Cabinet on 20 January 2021</w:t>
            </w:r>
          </w:p>
        </w:tc>
      </w:tr>
      <w:tr w:rsidR="006F6326" w:rsidTr="001849CC">
        <w:tc>
          <w:tcPr>
            <w:tcW w:w="3007" w:type="dxa"/>
          </w:tcPr>
          <w:p w:rsidR="003505E0" w:rsidRDefault="003505E0" w:rsidP="001849CC">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917" w:type="dxa"/>
          </w:tcPr>
          <w:p w:rsidR="006F6326" w:rsidRPr="00A96C08" w:rsidRDefault="00CD2567" w:rsidP="008A22C6">
            <w:pPr>
              <w:rPr>
                <w:rFonts w:ascii="Arial" w:hAnsi="Arial" w:cs="Arial"/>
              </w:rPr>
            </w:pPr>
            <w:r>
              <w:rPr>
                <w:rFonts w:ascii="Arial" w:hAnsi="Arial" w:cs="Arial"/>
              </w:rPr>
              <w:t>Not Key</w:t>
            </w:r>
          </w:p>
        </w:tc>
      </w:tr>
      <w:tr w:rsidR="006F6326" w:rsidTr="001849CC">
        <w:tc>
          <w:tcPr>
            <w:tcW w:w="3007" w:type="dxa"/>
          </w:tcPr>
          <w:p w:rsidR="006F6326" w:rsidRPr="008E4629" w:rsidRDefault="006F6326" w:rsidP="001849CC">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917" w:type="dxa"/>
          </w:tcPr>
          <w:p w:rsidR="001849CC" w:rsidRPr="00A96C08" w:rsidRDefault="001849CC" w:rsidP="001849CC">
            <w:pPr>
              <w:rPr>
                <w:rFonts w:ascii="Arial" w:hAnsi="Arial" w:cs="Arial"/>
              </w:rPr>
            </w:pPr>
            <w:r>
              <w:rPr>
                <w:rFonts w:ascii="Arial" w:hAnsi="Arial" w:cs="Arial"/>
              </w:rPr>
              <w:t>None</w:t>
            </w:r>
          </w:p>
        </w:tc>
      </w:tr>
      <w:tr w:rsidR="006F6326" w:rsidTr="001849CC">
        <w:tc>
          <w:tcPr>
            <w:tcW w:w="3007" w:type="dxa"/>
          </w:tcPr>
          <w:p w:rsidR="006F6326" w:rsidRPr="006F6326" w:rsidRDefault="006F6326" w:rsidP="001849CC">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917" w:type="dxa"/>
          </w:tcPr>
          <w:p w:rsidR="006F6326" w:rsidRPr="00A96C08" w:rsidRDefault="00E11B53" w:rsidP="008A22C6">
            <w:pPr>
              <w:rPr>
                <w:rFonts w:ascii="Arial" w:hAnsi="Arial" w:cs="Arial"/>
              </w:rPr>
            </w:pPr>
            <w:r>
              <w:rPr>
                <w:rFonts w:ascii="Arial" w:hAnsi="Arial" w:cs="Arial"/>
              </w:rPr>
              <w:t xml:space="preserve">None </w:t>
            </w:r>
          </w:p>
        </w:tc>
      </w:tr>
      <w:tr w:rsidR="00B87695" w:rsidTr="001849CC">
        <w:tc>
          <w:tcPr>
            <w:tcW w:w="3007"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917" w:type="dxa"/>
          </w:tcPr>
          <w:p w:rsidR="004A049B" w:rsidRDefault="004A049B" w:rsidP="008A22C6">
            <w:pPr>
              <w:rPr>
                <w:rFonts w:ascii="Arial" w:hAnsi="Arial" w:cs="Arial"/>
              </w:rPr>
            </w:pPr>
          </w:p>
          <w:p w:rsidR="001515AF" w:rsidRDefault="005261C8" w:rsidP="008A22C6">
            <w:pPr>
              <w:rPr>
                <w:rFonts w:ascii="Arial" w:hAnsi="Arial" w:cs="Arial"/>
              </w:rPr>
            </w:pPr>
            <w:r>
              <w:rPr>
                <w:rFonts w:ascii="Arial" w:hAnsi="Arial" w:cs="Arial"/>
              </w:rPr>
              <w:t>Jenny Barker</w:t>
            </w:r>
            <w:r w:rsidR="001515AF">
              <w:rPr>
                <w:rFonts w:ascii="Arial" w:hAnsi="Arial" w:cs="Arial"/>
              </w:rPr>
              <w:t>, Regeneration Manager</w:t>
            </w:r>
          </w:p>
          <w:p w:rsidR="00E015C0" w:rsidRDefault="00E015C0" w:rsidP="008A22C6">
            <w:pPr>
              <w:rPr>
                <w:rFonts w:ascii="Arial" w:hAnsi="Arial" w:cs="Arial"/>
              </w:rPr>
            </w:pPr>
          </w:p>
          <w:p w:rsidR="00E015C0" w:rsidRPr="00A96C08" w:rsidRDefault="00EA03A4" w:rsidP="00EA03A4">
            <w:pPr>
              <w:rPr>
                <w:rFonts w:ascii="Arial" w:hAnsi="Arial" w:cs="Arial"/>
              </w:rPr>
            </w:pPr>
            <w:r>
              <w:rPr>
                <w:rFonts w:ascii="Arial" w:hAnsi="Arial" w:cs="Arial"/>
              </w:rPr>
              <w:t>12</w:t>
            </w:r>
            <w:r w:rsidR="00E015C0">
              <w:rPr>
                <w:rFonts w:ascii="Arial" w:hAnsi="Arial" w:cs="Arial"/>
              </w:rPr>
              <w:t>/0</w:t>
            </w:r>
            <w:r>
              <w:rPr>
                <w:rFonts w:ascii="Arial" w:hAnsi="Arial" w:cs="Arial"/>
              </w:rPr>
              <w:t>7</w:t>
            </w:r>
            <w:r w:rsidR="00E015C0">
              <w:rPr>
                <w:rFonts w:ascii="Arial" w:hAnsi="Arial" w:cs="Arial"/>
              </w:rPr>
              <w:t>/21</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DD4885" w:rsidP="001849CC">
            <w:pPr>
              <w:spacing w:before="120" w:after="120"/>
              <w:rPr>
                <w:rFonts w:ascii="Arial" w:hAnsi="Arial" w:cs="Arial"/>
              </w:rPr>
            </w:pPr>
            <w:r w:rsidRPr="00405321">
              <w:rPr>
                <w:rFonts w:ascii="Arial" w:hAnsi="Arial" w:cs="Arial"/>
                <w:b/>
              </w:rPr>
              <w:t>Senior officer</w:t>
            </w:r>
            <w:r w:rsidR="00BF240D">
              <w:rPr>
                <w:rFonts w:ascii="Arial" w:hAnsi="Arial" w:cs="Arial"/>
                <w:b/>
              </w:rPr>
              <w:t xml:space="preserve"> </w:t>
            </w:r>
          </w:p>
        </w:tc>
        <w:tc>
          <w:tcPr>
            <w:tcW w:w="4111" w:type="dxa"/>
            <w:vAlign w:val="center"/>
          </w:tcPr>
          <w:p w:rsidR="005261C8" w:rsidRDefault="005261C8" w:rsidP="00DD4885">
            <w:pPr>
              <w:rPr>
                <w:rFonts w:ascii="Arial" w:hAnsi="Arial" w:cs="Arial"/>
              </w:rPr>
            </w:pPr>
            <w:r>
              <w:rPr>
                <w:rFonts w:ascii="Arial" w:hAnsi="Arial" w:cs="Arial"/>
              </w:rPr>
              <w:t xml:space="preserve">Carolyn Ploszynski </w:t>
            </w:r>
          </w:p>
          <w:p w:rsidR="00E11B53" w:rsidRDefault="005261C8" w:rsidP="001849CC">
            <w:pPr>
              <w:rPr>
                <w:rFonts w:ascii="Arial" w:hAnsi="Arial" w:cs="Arial"/>
              </w:rPr>
            </w:pPr>
            <w:r>
              <w:rPr>
                <w:rFonts w:ascii="Arial" w:hAnsi="Arial" w:cs="Arial"/>
              </w:rPr>
              <w:t xml:space="preserve">Head of Economy &amp; </w:t>
            </w:r>
            <w:r w:rsidR="001849CC">
              <w:rPr>
                <w:rFonts w:ascii="Arial" w:hAnsi="Arial" w:cs="Arial"/>
              </w:rPr>
              <w:t>R</w:t>
            </w:r>
            <w:r>
              <w:rPr>
                <w:rFonts w:ascii="Arial" w:hAnsi="Arial" w:cs="Arial"/>
              </w:rPr>
              <w:t xml:space="preserve">egeneration </w:t>
            </w:r>
            <w:r w:rsidR="00E11B53">
              <w:rPr>
                <w:rFonts w:ascii="Arial" w:hAnsi="Arial" w:cs="Arial"/>
              </w:rPr>
              <w:t xml:space="preserve"> </w:t>
            </w:r>
          </w:p>
          <w:p w:rsidR="001849CC" w:rsidRPr="00A96C08" w:rsidRDefault="001849CC" w:rsidP="001849CC">
            <w:pPr>
              <w:rPr>
                <w:rFonts w:ascii="Arial" w:hAnsi="Arial" w:cs="Arial"/>
              </w:rPr>
            </w:pPr>
            <w:r>
              <w:rPr>
                <w:rFonts w:ascii="Arial" w:hAnsi="Arial" w:cs="Arial"/>
                <w:noProof/>
              </w:rPr>
              <w:drawing>
                <wp:inline distT="0" distB="0" distL="0" distR="0" wp14:anchorId="1D91FC99">
                  <wp:extent cx="1731645" cy="4940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494030"/>
                          </a:xfrm>
                          <a:prstGeom prst="rect">
                            <a:avLst/>
                          </a:prstGeom>
                          <a:noFill/>
                        </pic:spPr>
                      </pic:pic>
                    </a:graphicData>
                  </a:graphic>
                </wp:inline>
              </w:drawing>
            </w:r>
          </w:p>
        </w:tc>
        <w:tc>
          <w:tcPr>
            <w:tcW w:w="1984" w:type="dxa"/>
            <w:vAlign w:val="center"/>
          </w:tcPr>
          <w:p w:rsidR="00DD4885" w:rsidRPr="00A96C08" w:rsidRDefault="00094286" w:rsidP="00DD4885">
            <w:pPr>
              <w:rPr>
                <w:rFonts w:ascii="Arial" w:hAnsi="Arial" w:cs="Arial"/>
              </w:rPr>
            </w:pPr>
            <w:r>
              <w:rPr>
                <w:rFonts w:ascii="Arial" w:hAnsi="Arial" w:cs="Arial"/>
              </w:rPr>
              <w:t>21/7/21</w:t>
            </w:r>
          </w:p>
        </w:tc>
      </w:tr>
      <w:tr w:rsidR="00DD4885" w:rsidRPr="00A96C08" w:rsidTr="00BF240D">
        <w:trPr>
          <w:trHeight w:val="1161"/>
        </w:trPr>
        <w:tc>
          <w:tcPr>
            <w:tcW w:w="3828" w:type="dxa"/>
          </w:tcPr>
          <w:p w:rsidR="00DD4885" w:rsidRPr="00BF240D" w:rsidRDefault="00DD4885" w:rsidP="001849CC">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vAlign w:val="center"/>
          </w:tcPr>
          <w:p w:rsidR="00DD4885" w:rsidRDefault="005261C8" w:rsidP="00DD4885">
            <w:pPr>
              <w:rPr>
                <w:rFonts w:ascii="Arial" w:hAnsi="Arial" w:cs="Arial"/>
              </w:rPr>
            </w:pPr>
            <w:r>
              <w:rPr>
                <w:rFonts w:ascii="Arial" w:hAnsi="Arial" w:cs="Arial"/>
              </w:rPr>
              <w:t xml:space="preserve">Nigel Kennedy </w:t>
            </w:r>
          </w:p>
          <w:p w:rsidR="001849CC" w:rsidRDefault="001849CC" w:rsidP="00DD4885">
            <w:pPr>
              <w:rPr>
                <w:rFonts w:ascii="Arial" w:hAnsi="Arial" w:cs="Arial"/>
              </w:rPr>
            </w:pPr>
            <w:r>
              <w:rPr>
                <w:rFonts w:ascii="Arial" w:hAnsi="Arial" w:cs="Arial"/>
              </w:rPr>
              <w:t>Head of Financial Services</w:t>
            </w:r>
          </w:p>
          <w:p w:rsidR="005261C8" w:rsidRPr="00A96C08" w:rsidRDefault="001849CC" w:rsidP="00DD4885">
            <w:pPr>
              <w:rPr>
                <w:rFonts w:ascii="Arial" w:hAnsi="Arial" w:cs="Arial"/>
              </w:rPr>
            </w:pPr>
            <w:r>
              <w:rPr>
                <w:rFonts w:ascii="Arial" w:hAnsi="Arial" w:cs="Arial"/>
                <w:noProof/>
              </w:rPr>
              <w:lastRenderedPageBreak/>
              <w:drawing>
                <wp:inline distT="0" distB="0" distL="0" distR="0" wp14:anchorId="3236F712">
                  <wp:extent cx="1115695" cy="8413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695" cy="841375"/>
                          </a:xfrm>
                          <a:prstGeom prst="rect">
                            <a:avLst/>
                          </a:prstGeom>
                          <a:noFill/>
                        </pic:spPr>
                      </pic:pic>
                    </a:graphicData>
                  </a:graphic>
                </wp:inline>
              </w:drawing>
            </w:r>
          </w:p>
        </w:tc>
        <w:tc>
          <w:tcPr>
            <w:tcW w:w="1984" w:type="dxa"/>
            <w:vAlign w:val="center"/>
          </w:tcPr>
          <w:p w:rsidR="00DD4885" w:rsidRPr="00A96C08" w:rsidRDefault="00094286" w:rsidP="00DD4885">
            <w:pPr>
              <w:rPr>
                <w:rFonts w:ascii="Arial" w:hAnsi="Arial" w:cs="Arial"/>
              </w:rPr>
            </w:pPr>
            <w:r>
              <w:rPr>
                <w:rFonts w:ascii="Arial" w:hAnsi="Arial" w:cs="Arial"/>
              </w:rPr>
              <w:lastRenderedPageBreak/>
              <w:t>26/7/21</w:t>
            </w:r>
          </w:p>
        </w:tc>
      </w:tr>
      <w:tr w:rsidR="00DD4885" w:rsidRPr="00A96C08" w:rsidTr="00BF240D">
        <w:trPr>
          <w:trHeight w:val="834"/>
        </w:trPr>
        <w:tc>
          <w:tcPr>
            <w:tcW w:w="3828" w:type="dxa"/>
            <w:vAlign w:val="center"/>
          </w:tcPr>
          <w:p w:rsidR="00DD4885" w:rsidRPr="00405321" w:rsidRDefault="00DD4885" w:rsidP="001849CC">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vAlign w:val="center"/>
          </w:tcPr>
          <w:p w:rsidR="00DD4885" w:rsidRDefault="005261C8" w:rsidP="00DD4885">
            <w:pPr>
              <w:rPr>
                <w:rFonts w:ascii="Arial" w:hAnsi="Arial" w:cs="Arial"/>
              </w:rPr>
            </w:pPr>
            <w:r>
              <w:rPr>
                <w:rFonts w:ascii="Arial" w:hAnsi="Arial" w:cs="Arial"/>
              </w:rPr>
              <w:t xml:space="preserve">Susan Sale </w:t>
            </w:r>
          </w:p>
          <w:p w:rsidR="001849CC" w:rsidRDefault="001849CC" w:rsidP="00DD4885">
            <w:pPr>
              <w:rPr>
                <w:rFonts w:ascii="Arial" w:hAnsi="Arial" w:cs="Arial"/>
              </w:rPr>
            </w:pPr>
            <w:r>
              <w:rPr>
                <w:rFonts w:ascii="Arial" w:hAnsi="Arial" w:cs="Arial"/>
              </w:rPr>
              <w:t>Head of Law and Governance</w:t>
            </w:r>
          </w:p>
          <w:p w:rsidR="005261C8" w:rsidRPr="00A96C08" w:rsidRDefault="001849CC" w:rsidP="00DD4885">
            <w:pPr>
              <w:rPr>
                <w:rFonts w:ascii="Arial" w:hAnsi="Arial" w:cs="Arial"/>
              </w:rPr>
            </w:pPr>
            <w:r w:rsidRPr="00C64101">
              <w:rPr>
                <w:noProof/>
              </w:rPr>
              <w:drawing>
                <wp:inline distT="0" distB="0" distL="0" distR="0" wp14:anchorId="08C858BE" wp14:editId="09012C85">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9924" cy="784928"/>
                          </a:xfrm>
                          <a:prstGeom prst="rect">
                            <a:avLst/>
                          </a:prstGeom>
                        </pic:spPr>
                      </pic:pic>
                    </a:graphicData>
                  </a:graphic>
                </wp:inline>
              </w:drawing>
            </w:r>
          </w:p>
        </w:tc>
        <w:tc>
          <w:tcPr>
            <w:tcW w:w="1984" w:type="dxa"/>
            <w:vAlign w:val="center"/>
          </w:tcPr>
          <w:p w:rsidR="00DD4885" w:rsidRPr="00A96C08" w:rsidRDefault="00BD0419" w:rsidP="00DD4885">
            <w:pPr>
              <w:rPr>
                <w:rFonts w:ascii="Arial" w:hAnsi="Arial" w:cs="Arial"/>
              </w:rPr>
            </w:pPr>
            <w:r>
              <w:rPr>
                <w:rFonts w:ascii="Arial" w:hAnsi="Arial" w:cs="Arial"/>
              </w:rPr>
              <w:t>28/7/21</w:t>
            </w:r>
          </w:p>
        </w:tc>
      </w:tr>
      <w:tr w:rsidR="00DD4885" w:rsidRPr="00A96C08" w:rsidTr="00BF240D">
        <w:trPr>
          <w:trHeight w:val="562"/>
        </w:trPr>
        <w:tc>
          <w:tcPr>
            <w:tcW w:w="3828" w:type="dxa"/>
            <w:vAlign w:val="center"/>
          </w:tcPr>
          <w:p w:rsidR="00DD4885" w:rsidRPr="00405321" w:rsidRDefault="00DD4885" w:rsidP="001849CC">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p>
        </w:tc>
        <w:tc>
          <w:tcPr>
            <w:tcW w:w="4111" w:type="dxa"/>
            <w:vAlign w:val="center"/>
          </w:tcPr>
          <w:p w:rsidR="00DD4885" w:rsidRPr="00A96C08" w:rsidRDefault="001849CC" w:rsidP="00DD4885">
            <w:pPr>
              <w:rPr>
                <w:rFonts w:ascii="Arial" w:hAnsi="Arial" w:cs="Arial"/>
              </w:rPr>
            </w:pPr>
            <w:r>
              <w:rPr>
                <w:rFonts w:ascii="Arial" w:hAnsi="Arial" w:cs="Arial"/>
              </w:rPr>
              <w:t>Cllr Hollingsworth, Cabinet Member for Planning and Housing Delivery</w:t>
            </w:r>
          </w:p>
        </w:tc>
        <w:tc>
          <w:tcPr>
            <w:tcW w:w="1984" w:type="dxa"/>
            <w:vAlign w:val="center"/>
          </w:tcPr>
          <w:p w:rsidR="00DD4885" w:rsidRPr="00A96C08" w:rsidRDefault="00094286" w:rsidP="00DD4885">
            <w:pPr>
              <w:rPr>
                <w:rFonts w:ascii="Arial" w:hAnsi="Arial" w:cs="Arial"/>
              </w:rPr>
            </w:pPr>
            <w:r>
              <w:rPr>
                <w:rFonts w:ascii="Arial" w:hAnsi="Arial" w:cs="Arial"/>
              </w:rPr>
              <w:t>20/7/21</w:t>
            </w:r>
          </w:p>
        </w:tc>
      </w:tr>
      <w:tr w:rsidR="00DD4885" w:rsidRPr="00A96C08" w:rsidTr="00BF240D">
        <w:trPr>
          <w:trHeight w:val="516"/>
        </w:trPr>
        <w:tc>
          <w:tcPr>
            <w:tcW w:w="3828" w:type="dxa"/>
            <w:vAlign w:val="center"/>
          </w:tcPr>
          <w:p w:rsidR="00DD4885" w:rsidRPr="00405321" w:rsidRDefault="00DD4885" w:rsidP="001849CC">
            <w:pPr>
              <w:spacing w:before="120" w:after="120"/>
              <w:rPr>
                <w:rFonts w:ascii="Arial" w:hAnsi="Arial" w:cs="Arial"/>
              </w:rPr>
            </w:pPr>
            <w:r w:rsidRPr="00405321">
              <w:rPr>
                <w:rFonts w:ascii="Arial" w:hAnsi="Arial" w:cs="Arial"/>
                <w:b/>
              </w:rPr>
              <w:t>Ward Member(s)</w:t>
            </w:r>
            <w:r w:rsidR="00405321">
              <w:rPr>
                <w:rFonts w:ascii="Arial" w:hAnsi="Arial" w:cs="Arial"/>
              </w:rPr>
              <w:t xml:space="preserve"> </w:t>
            </w:r>
          </w:p>
        </w:tc>
        <w:tc>
          <w:tcPr>
            <w:tcW w:w="4111" w:type="dxa"/>
            <w:vAlign w:val="center"/>
          </w:tcPr>
          <w:p w:rsidR="005261C8" w:rsidRDefault="00745EA7" w:rsidP="00DD4885">
            <w:pPr>
              <w:rPr>
                <w:rFonts w:ascii="Arial" w:hAnsi="Arial" w:cs="Arial"/>
              </w:rPr>
            </w:pPr>
            <w:r>
              <w:rPr>
                <w:rFonts w:ascii="Arial" w:hAnsi="Arial" w:cs="Arial"/>
              </w:rPr>
              <w:t xml:space="preserve">Cllr Colin Cook </w:t>
            </w:r>
          </w:p>
          <w:p w:rsidR="00745EA7" w:rsidRDefault="00745EA7" w:rsidP="00DD4885">
            <w:pPr>
              <w:rPr>
                <w:rFonts w:ascii="Arial" w:hAnsi="Arial" w:cs="Arial"/>
              </w:rPr>
            </w:pPr>
            <w:r>
              <w:rPr>
                <w:rFonts w:ascii="Arial" w:hAnsi="Arial" w:cs="Arial"/>
              </w:rPr>
              <w:t>Cllr Susanna Pressel</w:t>
            </w:r>
          </w:p>
          <w:p w:rsidR="00DD4885" w:rsidRDefault="005261C8" w:rsidP="00DD4885">
            <w:pPr>
              <w:rPr>
                <w:rFonts w:ascii="Arial" w:hAnsi="Arial" w:cs="Arial"/>
              </w:rPr>
            </w:pPr>
            <w:r>
              <w:rPr>
                <w:rFonts w:ascii="Arial" w:hAnsi="Arial" w:cs="Arial"/>
              </w:rPr>
              <w:t xml:space="preserve">Osney St Thomas </w:t>
            </w:r>
          </w:p>
          <w:p w:rsidR="00745EA7" w:rsidRDefault="00745EA7" w:rsidP="00DD4885">
            <w:pPr>
              <w:rPr>
                <w:rFonts w:ascii="Arial" w:hAnsi="Arial" w:cs="Arial"/>
              </w:rPr>
            </w:pPr>
          </w:p>
          <w:p w:rsidR="005261C8" w:rsidRDefault="005261C8" w:rsidP="00DD4885">
            <w:pPr>
              <w:rPr>
                <w:rFonts w:ascii="Arial" w:hAnsi="Arial" w:cs="Arial"/>
              </w:rPr>
            </w:pPr>
            <w:r>
              <w:rPr>
                <w:rFonts w:ascii="Arial" w:hAnsi="Arial" w:cs="Arial"/>
              </w:rPr>
              <w:t>Cllr Marie Tidball</w:t>
            </w:r>
          </w:p>
          <w:p w:rsidR="005261C8" w:rsidRDefault="005261C8" w:rsidP="00DD4885">
            <w:pPr>
              <w:rPr>
                <w:rFonts w:ascii="Arial" w:hAnsi="Arial" w:cs="Arial"/>
              </w:rPr>
            </w:pPr>
            <w:r>
              <w:rPr>
                <w:rFonts w:ascii="Arial" w:hAnsi="Arial" w:cs="Arial"/>
              </w:rPr>
              <w:t xml:space="preserve">Cllr Naomi White </w:t>
            </w:r>
          </w:p>
          <w:p w:rsidR="005261C8" w:rsidRPr="00A96C08" w:rsidRDefault="005261C8" w:rsidP="00DD4885">
            <w:pPr>
              <w:rPr>
                <w:rFonts w:ascii="Arial" w:hAnsi="Arial" w:cs="Arial"/>
              </w:rPr>
            </w:pPr>
            <w:r>
              <w:rPr>
                <w:rFonts w:ascii="Arial" w:hAnsi="Arial" w:cs="Arial"/>
              </w:rPr>
              <w:t xml:space="preserve">Hinksey Park </w:t>
            </w:r>
          </w:p>
        </w:tc>
        <w:tc>
          <w:tcPr>
            <w:tcW w:w="1984" w:type="dxa"/>
            <w:vAlign w:val="center"/>
          </w:tcPr>
          <w:p w:rsidR="00DD4885" w:rsidRPr="00A96C08" w:rsidRDefault="00BD0419" w:rsidP="00DD4885">
            <w:pPr>
              <w:rPr>
                <w:rFonts w:ascii="Arial" w:hAnsi="Arial" w:cs="Arial"/>
              </w:rPr>
            </w:pPr>
            <w:r>
              <w:rPr>
                <w:rFonts w:ascii="Arial" w:hAnsi="Arial" w:cs="Arial"/>
              </w:rPr>
              <w:t>Notified 23/7/21</w:t>
            </w:r>
          </w:p>
        </w:tc>
      </w:tr>
    </w:tbl>
    <w:p w:rsidR="008E4629" w:rsidRDefault="008E4629" w:rsidP="002611EB">
      <w:pPr>
        <w:rPr>
          <w:rFonts w:ascii="Arial" w:hAnsi="Arial" w:cs="Arial"/>
        </w:rPr>
      </w:pPr>
    </w:p>
    <w:sectPr w:rsidR="008E4629"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C1" w:rsidRDefault="00FA20C1" w:rsidP="00F11FD1">
      <w:r>
        <w:separator/>
      </w:r>
    </w:p>
  </w:endnote>
  <w:endnote w:type="continuationSeparator" w:id="0">
    <w:p w:rsidR="00FA20C1" w:rsidRDefault="00FA20C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C1" w:rsidRDefault="00FA20C1" w:rsidP="00F11FD1">
      <w:r>
        <w:separator/>
      </w:r>
    </w:p>
  </w:footnote>
  <w:footnote w:type="continuationSeparator" w:id="0">
    <w:p w:rsidR="00FA20C1" w:rsidRDefault="00FA20C1"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94286"/>
    <w:rsid w:val="000B4310"/>
    <w:rsid w:val="000F4239"/>
    <w:rsid w:val="001515AF"/>
    <w:rsid w:val="001849CC"/>
    <w:rsid w:val="00231385"/>
    <w:rsid w:val="00233C0F"/>
    <w:rsid w:val="002611EB"/>
    <w:rsid w:val="00263039"/>
    <w:rsid w:val="002A07C9"/>
    <w:rsid w:val="002B53D4"/>
    <w:rsid w:val="002E61DD"/>
    <w:rsid w:val="00335A9B"/>
    <w:rsid w:val="003505E0"/>
    <w:rsid w:val="003547CD"/>
    <w:rsid w:val="00373F5D"/>
    <w:rsid w:val="00375F89"/>
    <w:rsid w:val="003B1236"/>
    <w:rsid w:val="004000D7"/>
    <w:rsid w:val="00405321"/>
    <w:rsid w:val="00424A92"/>
    <w:rsid w:val="004A049B"/>
    <w:rsid w:val="004B1944"/>
    <w:rsid w:val="00504E43"/>
    <w:rsid w:val="005261C8"/>
    <w:rsid w:val="00532DF2"/>
    <w:rsid w:val="00533BCE"/>
    <w:rsid w:val="005C6416"/>
    <w:rsid w:val="005E37E4"/>
    <w:rsid w:val="00616F3F"/>
    <w:rsid w:val="006247C4"/>
    <w:rsid w:val="006869D3"/>
    <w:rsid w:val="0069520C"/>
    <w:rsid w:val="006B5607"/>
    <w:rsid w:val="006F6326"/>
    <w:rsid w:val="006F6731"/>
    <w:rsid w:val="00732C5A"/>
    <w:rsid w:val="00745EA7"/>
    <w:rsid w:val="007908F4"/>
    <w:rsid w:val="007D270E"/>
    <w:rsid w:val="00801BEB"/>
    <w:rsid w:val="00804BF2"/>
    <w:rsid w:val="00834D72"/>
    <w:rsid w:val="00844D21"/>
    <w:rsid w:val="00854133"/>
    <w:rsid w:val="008613FB"/>
    <w:rsid w:val="008676E5"/>
    <w:rsid w:val="008900A7"/>
    <w:rsid w:val="00891B19"/>
    <w:rsid w:val="008A22C6"/>
    <w:rsid w:val="008D607A"/>
    <w:rsid w:val="008E4629"/>
    <w:rsid w:val="00986C99"/>
    <w:rsid w:val="009F048F"/>
    <w:rsid w:val="009F6401"/>
    <w:rsid w:val="00A12928"/>
    <w:rsid w:val="00A732ED"/>
    <w:rsid w:val="00A96144"/>
    <w:rsid w:val="00A96C08"/>
    <w:rsid w:val="00AA564A"/>
    <w:rsid w:val="00AC5899"/>
    <w:rsid w:val="00AF498A"/>
    <w:rsid w:val="00B15340"/>
    <w:rsid w:val="00B87695"/>
    <w:rsid w:val="00B928EF"/>
    <w:rsid w:val="00BD0419"/>
    <w:rsid w:val="00BD4490"/>
    <w:rsid w:val="00BE1FD4"/>
    <w:rsid w:val="00BF240D"/>
    <w:rsid w:val="00C00C01"/>
    <w:rsid w:val="00C07F80"/>
    <w:rsid w:val="00C251F7"/>
    <w:rsid w:val="00C6130E"/>
    <w:rsid w:val="00C678ED"/>
    <w:rsid w:val="00CA0FA8"/>
    <w:rsid w:val="00CB5E4F"/>
    <w:rsid w:val="00CD2567"/>
    <w:rsid w:val="00CD4BC9"/>
    <w:rsid w:val="00CE6085"/>
    <w:rsid w:val="00D27B30"/>
    <w:rsid w:val="00D33F83"/>
    <w:rsid w:val="00D543D9"/>
    <w:rsid w:val="00DB01D4"/>
    <w:rsid w:val="00DC2E8D"/>
    <w:rsid w:val="00DD1A34"/>
    <w:rsid w:val="00DD4885"/>
    <w:rsid w:val="00DD51B2"/>
    <w:rsid w:val="00E015C0"/>
    <w:rsid w:val="00E1184E"/>
    <w:rsid w:val="00E11B53"/>
    <w:rsid w:val="00E127E3"/>
    <w:rsid w:val="00E20A54"/>
    <w:rsid w:val="00E270E5"/>
    <w:rsid w:val="00E97F84"/>
    <w:rsid w:val="00EA03A4"/>
    <w:rsid w:val="00F11FD1"/>
    <w:rsid w:val="00F55FF1"/>
    <w:rsid w:val="00F64579"/>
    <w:rsid w:val="00F92EBA"/>
    <w:rsid w:val="00FA20C1"/>
    <w:rsid w:val="00FD1E96"/>
    <w:rsid w:val="00FD3A85"/>
    <w:rsid w:val="00FE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AC6D-65C7-49D8-A907-1A6757C9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285EB05B</Template>
  <TotalTime>35</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BROWN Andrew J</cp:lastModifiedBy>
  <cp:revision>5</cp:revision>
  <cp:lastPrinted>2015-07-27T09:35:00Z</cp:lastPrinted>
  <dcterms:created xsi:type="dcterms:W3CDTF">2021-08-09T10:14:00Z</dcterms:created>
  <dcterms:modified xsi:type="dcterms:W3CDTF">2021-08-13T09:48:00Z</dcterms:modified>
</cp:coreProperties>
</file>